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561D20" w:rsidRPr="0013750E" w:rsidTr="00E6026D">
        <w:trPr>
          <w:trHeight w:hRule="exact" w:val="3119"/>
        </w:trPr>
        <w:tc>
          <w:tcPr>
            <w:tcW w:w="3686" w:type="dxa"/>
          </w:tcPr>
          <w:p w:rsidR="00561D20" w:rsidRPr="00670AB6" w:rsidRDefault="00561D20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D20" w:rsidRPr="002D747D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561D20" w:rsidRPr="002D747D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561D20" w:rsidRPr="00670AB6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61D20" w:rsidRPr="00670AB6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561D20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61D20" w:rsidRPr="00560FE3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61D20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561D20" w:rsidRDefault="00561D20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561D20" w:rsidRDefault="00561D20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561D20" w:rsidRPr="0013750E" w:rsidRDefault="00561D20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561D20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561D20" w:rsidRPr="00A153DD" w:rsidRDefault="00561D20" w:rsidP="00E6026D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53DD">
              <w:rPr>
                <w:rFonts w:ascii="Times New Roman" w:hAnsi="Times New Roman"/>
                <w:sz w:val="27"/>
                <w:szCs w:val="27"/>
              </w:rPr>
              <w:t xml:space="preserve">Главам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городских и сельских </w:t>
            </w:r>
            <w:r w:rsidRPr="00A153DD">
              <w:rPr>
                <w:rFonts w:ascii="Times New Roman" w:hAnsi="Times New Roman"/>
                <w:sz w:val="27"/>
                <w:szCs w:val="27"/>
              </w:rPr>
              <w:t>поселений Бутурлиновского муниципального района Воронежской области</w:t>
            </w:r>
          </w:p>
          <w:p w:rsidR="00561D20" w:rsidRPr="0013750E" w:rsidRDefault="00561D20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561D20" w:rsidRPr="00A153DD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20" w:rsidRPr="00A153DD" w:rsidRDefault="00561D20" w:rsidP="00E602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  <w:r w:rsidRPr="00A153DD">
              <w:rPr>
                <w:rFonts w:ascii="Times New Roman" w:hAnsi="Times New Roman"/>
                <w:sz w:val="27"/>
                <w:szCs w:val="27"/>
              </w:rPr>
              <w:t xml:space="preserve">.06.2024№ </w:t>
            </w:r>
            <w:r>
              <w:rPr>
                <w:rFonts w:ascii="Times New Roman" w:hAnsi="Times New Roman"/>
                <w:sz w:val="27"/>
                <w:szCs w:val="27"/>
              </w:rPr>
              <w:t>4-2</w:t>
            </w:r>
            <w:bookmarkStart w:id="0" w:name="_GoBack"/>
            <w:bookmarkEnd w:id="0"/>
            <w:r w:rsidRPr="00A153DD">
              <w:rPr>
                <w:rFonts w:ascii="Times New Roman" w:hAnsi="Times New Roman"/>
                <w:sz w:val="27"/>
                <w:szCs w:val="27"/>
              </w:rPr>
              <w:t>-2024</w:t>
            </w:r>
          </w:p>
        </w:tc>
      </w:tr>
    </w:tbl>
    <w:p w:rsidR="00561D20" w:rsidRPr="00A153DD" w:rsidRDefault="00561D20" w:rsidP="00561D20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561D20" w:rsidRPr="00A153DD" w:rsidRDefault="00561D20" w:rsidP="00561D20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53D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561D20" w:rsidRPr="00A153DD" w:rsidRDefault="00561D20" w:rsidP="00561D20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7"/>
          <w:szCs w:val="27"/>
        </w:rPr>
      </w:pPr>
      <w:r w:rsidRPr="00A153DD">
        <w:rPr>
          <w:rFonts w:ascii="Times New Roman" w:hAnsi="Times New Roman" w:cs="Times New Roman"/>
          <w:sz w:val="27"/>
          <w:szCs w:val="27"/>
        </w:rPr>
        <w:t xml:space="preserve">по правовому </w:t>
      </w:r>
      <w:proofErr w:type="spellStart"/>
      <w:r w:rsidRPr="00A153DD">
        <w:rPr>
          <w:rFonts w:ascii="Times New Roman" w:hAnsi="Times New Roman" w:cs="Times New Roman"/>
          <w:sz w:val="27"/>
          <w:szCs w:val="27"/>
        </w:rPr>
        <w:t>просвещениюдля</w:t>
      </w:r>
      <w:proofErr w:type="spellEnd"/>
      <w:r w:rsidRPr="00A153DD">
        <w:rPr>
          <w:rFonts w:ascii="Times New Roman" w:hAnsi="Times New Roman" w:cs="Times New Roman"/>
          <w:sz w:val="27"/>
          <w:szCs w:val="27"/>
        </w:rPr>
        <w:t xml:space="preserve"> размещения в сети «Интернет» на сайте </w:t>
      </w:r>
      <w:proofErr w:type="spellStart"/>
      <w:r w:rsidRPr="00A153DD">
        <w:rPr>
          <w:rFonts w:ascii="Times New Roman" w:hAnsi="Times New Roman"/>
          <w:sz w:val="27"/>
          <w:szCs w:val="27"/>
        </w:rPr>
        <w:t>администраций</w:t>
      </w:r>
      <w:r>
        <w:rPr>
          <w:rFonts w:ascii="Times New Roman" w:hAnsi="Times New Roman"/>
          <w:sz w:val="27"/>
          <w:szCs w:val="27"/>
        </w:rPr>
        <w:t>городских</w:t>
      </w:r>
      <w:proofErr w:type="spellEnd"/>
      <w:r>
        <w:rPr>
          <w:rFonts w:ascii="Times New Roman" w:hAnsi="Times New Roman"/>
          <w:sz w:val="27"/>
          <w:szCs w:val="27"/>
        </w:rPr>
        <w:t xml:space="preserve"> и </w:t>
      </w:r>
      <w:r w:rsidRPr="00A153DD">
        <w:rPr>
          <w:rFonts w:ascii="Times New Roman" w:hAnsi="Times New Roman"/>
          <w:sz w:val="27"/>
          <w:szCs w:val="27"/>
        </w:rPr>
        <w:t xml:space="preserve">сельских </w:t>
      </w:r>
      <w:proofErr w:type="spellStart"/>
      <w:r w:rsidRPr="00A153DD">
        <w:rPr>
          <w:rFonts w:ascii="Times New Roman" w:hAnsi="Times New Roman"/>
          <w:sz w:val="27"/>
          <w:szCs w:val="27"/>
        </w:rPr>
        <w:t>поселенийБутурлиновского</w:t>
      </w:r>
      <w:proofErr w:type="spellEnd"/>
      <w:r w:rsidRPr="00A153DD">
        <w:rPr>
          <w:rFonts w:ascii="Times New Roman" w:hAnsi="Times New Roman"/>
          <w:sz w:val="27"/>
          <w:szCs w:val="27"/>
        </w:rPr>
        <w:t xml:space="preserve"> муниципального района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Особое внимание в настоящий момент уделено антикоррупционной политике в образовательных учреждениях.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Антикоррупционная политика школы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</w:t>
      </w:r>
      <w:r w:rsidRPr="00A153DD">
        <w:rPr>
          <w:rFonts w:ascii="Times New Roman" w:hAnsi="Times New Roman"/>
          <w:sz w:val="27"/>
          <w:szCs w:val="27"/>
        </w:rPr>
        <w:lastRenderedPageBreak/>
        <w:t>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РФ, относится к компетенции органов государственной власти субъектов РФ в сфере образования.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РФ, прямо противоречит законодательству.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В связи с этим необходимо разграничить, какие денежные взносы являются законными.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Сбор денег разрешен на цели: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преподавание дополнительного материала по каким-либо предметам, либо изучение дополнительного предмета, которого нет в программе школы;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преподавание дисциплин для специального развития детей;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репетиторство;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преподавание материала сверх школьной программы для более углубленного изучения предмета;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иные услуги, перечень которых не предусмотрен общеобразовательными программами в соответствии с российским законодательством.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Виды дополнительных образовательных услуг определяются уставом каждого образовательного учреждения.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Сбор денег запрещен: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на преподавание дисциплин, входящих в образовательный процесс (даже за дополнительные занятия перед подготовкой к экзаменам);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предоставление гардероба. В каждом общеобразовательном учреждении должно быть специальное помещение, предназначенное для хранения верхней одежды учеников.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- проведение ремонта в школе и на закупку нового оборудования. Все действия в рамках 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нового оборудования, мебель и т.п.</w:t>
      </w:r>
    </w:p>
    <w:p w:rsidR="00561D20" w:rsidRPr="00A153DD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53DD">
        <w:rPr>
          <w:rFonts w:ascii="Times New Roman" w:hAnsi="Times New Roman"/>
          <w:sz w:val="27"/>
          <w:szCs w:val="27"/>
        </w:rPr>
        <w:t>В случае требования сдачи денег на нужды образовательного учреждения родители вправе подать жалобу в адрес директора образовательного учреждения, отдела образования, а также вправе обратиться в полицию или прокуратуру по месту нахождения школы.</w:t>
      </w:r>
    </w:p>
    <w:p w:rsidR="00561D20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D20" w:rsidRPr="00937948" w:rsidRDefault="00561D20" w:rsidP="00561D20">
      <w:pPr>
        <w:pStyle w:val="a4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561D20" w:rsidRPr="00A153DD" w:rsidTr="00E6026D">
        <w:tc>
          <w:tcPr>
            <w:tcW w:w="5098" w:type="dxa"/>
            <w:vAlign w:val="bottom"/>
          </w:tcPr>
          <w:p w:rsidR="00561D20" w:rsidRPr="00A153DD" w:rsidRDefault="00561D20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A153DD">
              <w:rPr>
                <w:rFonts w:ascii="Times New Roman" w:hAnsi="Times New Roman" w:cs="Times New Roman"/>
                <w:sz w:val="27"/>
                <w:szCs w:val="27"/>
              </w:rPr>
              <w:t>Прокурор района</w:t>
            </w:r>
          </w:p>
          <w:p w:rsidR="00561D20" w:rsidRPr="00A153DD" w:rsidRDefault="00561D20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1D20" w:rsidRPr="00A153DD" w:rsidRDefault="00561D20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A153DD">
              <w:rPr>
                <w:rFonts w:ascii="Times New Roman" w:hAnsi="Times New Roman" w:cs="Times New Roman"/>
                <w:sz w:val="27"/>
                <w:szCs w:val="27"/>
              </w:rPr>
              <w:t>старший советник юстиции</w:t>
            </w:r>
          </w:p>
        </w:tc>
        <w:tc>
          <w:tcPr>
            <w:tcW w:w="1320" w:type="dxa"/>
          </w:tcPr>
          <w:p w:rsidR="00561D20" w:rsidRPr="00A153DD" w:rsidRDefault="00561D20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vAlign w:val="bottom"/>
          </w:tcPr>
          <w:p w:rsidR="00561D20" w:rsidRPr="00A153DD" w:rsidRDefault="00561D20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153DD">
              <w:rPr>
                <w:rFonts w:ascii="Times New Roman" w:hAnsi="Times New Roman" w:cs="Times New Roman"/>
                <w:sz w:val="27"/>
                <w:szCs w:val="27"/>
              </w:rPr>
              <w:t>С.В. Седых</w:t>
            </w:r>
          </w:p>
        </w:tc>
      </w:tr>
      <w:tr w:rsidR="00561D20" w:rsidRPr="00A153DD" w:rsidTr="00E6026D">
        <w:trPr>
          <w:trHeight w:val="1676"/>
        </w:trPr>
        <w:tc>
          <w:tcPr>
            <w:tcW w:w="9628" w:type="dxa"/>
            <w:gridSpan w:val="3"/>
          </w:tcPr>
          <w:p w:rsidR="00561D20" w:rsidRPr="00A153DD" w:rsidRDefault="00561D20" w:rsidP="00E6026D">
            <w:pPr>
              <w:ind w:left="198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1D20" w:rsidRPr="00A153DD" w:rsidRDefault="00561D20" w:rsidP="00E6026D">
            <w:pPr>
              <w:ind w:left="1985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SIGNERSTAMP1"/>
            <w:bookmarkEnd w:id="1"/>
          </w:p>
        </w:tc>
      </w:tr>
    </w:tbl>
    <w:p w:rsidR="00561D20" w:rsidRPr="00A153DD" w:rsidRDefault="00561D20" w:rsidP="00561D2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561D20" w:rsidRPr="00A153DD" w:rsidRDefault="00561D20" w:rsidP="00561D2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6C4693" w:rsidRDefault="00561D20" w:rsidP="00561D20">
      <w:r w:rsidRPr="00A153DD">
        <w:rPr>
          <w:rFonts w:ascii="Times New Roman" w:hAnsi="Times New Roman" w:cs="Times New Roman"/>
          <w:sz w:val="27"/>
          <w:szCs w:val="27"/>
        </w:rPr>
        <w:t xml:space="preserve">И.А. </w:t>
      </w:r>
      <w:proofErr w:type="spellStart"/>
      <w:r w:rsidRPr="00A153DD">
        <w:rPr>
          <w:rFonts w:ascii="Times New Roman" w:hAnsi="Times New Roman" w:cs="Times New Roman"/>
          <w:sz w:val="27"/>
          <w:szCs w:val="27"/>
        </w:rPr>
        <w:t>Ганцелевич</w:t>
      </w:r>
      <w:proofErr w:type="spellEnd"/>
      <w:r w:rsidRPr="00A153DD">
        <w:rPr>
          <w:rFonts w:ascii="Times New Roman" w:hAnsi="Times New Roman" w:cs="Times New Roman"/>
          <w:sz w:val="27"/>
          <w:szCs w:val="27"/>
        </w:rPr>
        <w:t>, тел. +7(47361)2-26</w:t>
      </w:r>
    </w:p>
    <w:sectPr w:rsidR="006C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1D20"/>
    <w:rsid w:val="00561D20"/>
    <w:rsid w:val="006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D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561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561D20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link w:val="a5"/>
    <w:uiPriority w:val="1"/>
    <w:qFormat/>
    <w:rsid w:val="00561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61D20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2024-07-01T10:02:00Z</dcterms:created>
  <dcterms:modified xsi:type="dcterms:W3CDTF">2024-07-01T10:02:00Z</dcterms:modified>
</cp:coreProperties>
</file>