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9" w:rsidRPr="00C7334B" w:rsidRDefault="000C43B9" w:rsidP="00853CD2">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Times New Roman" w:hAnsi="Times New Roman"/>
          <w:b/>
          <w:iCs/>
          <w:sz w:val="32"/>
          <w:szCs w:val="32"/>
        </w:rPr>
        <w:t>ПРОЕКТ</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D27749" w:rsidP="000C43B9">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Чулокского </w:t>
      </w:r>
      <w:r w:rsidR="000C43B9" w:rsidRPr="00C7334B">
        <w:rPr>
          <w:rFonts w:ascii="Times New Roman" w:hAnsi="Times New Roman"/>
          <w:b/>
          <w:bCs/>
          <w:i/>
          <w:iCs/>
          <w:sz w:val="40"/>
          <w:szCs w:val="40"/>
        </w:rPr>
        <w:t>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D27749" w:rsidRDefault="000C43B9" w:rsidP="000C43B9">
      <w:pPr>
        <w:ind w:firstLine="0"/>
        <w:jc w:val="left"/>
        <w:rPr>
          <w:rFonts w:ascii="Times New Roman" w:hAnsi="Times New Roman"/>
          <w:sz w:val="28"/>
          <w:szCs w:val="28"/>
          <w:u w:val="single"/>
        </w:rPr>
      </w:pPr>
      <w:r w:rsidRPr="00D27749">
        <w:rPr>
          <w:rFonts w:ascii="Times New Roman" w:hAnsi="Times New Roman"/>
          <w:sz w:val="28"/>
          <w:szCs w:val="28"/>
          <w:u w:val="single"/>
        </w:rPr>
        <w:t>от  …………….       № …..</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w:t>
      </w:r>
      <w:r w:rsidR="00D27749">
        <w:rPr>
          <w:rFonts w:ascii="Times New Roman" w:hAnsi="Times New Roman"/>
        </w:rPr>
        <w:t>Чулок</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D27749">
        <w:rPr>
          <w:rFonts w:eastAsia="Times New Roman"/>
          <w:b/>
          <w:bCs/>
          <w:iCs/>
          <w:kern w:val="28"/>
          <w:szCs w:val="28"/>
          <w:lang w:eastAsia="ru-RU"/>
        </w:rPr>
        <w:t xml:space="preserve">Чулокского </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D27749">
        <w:rPr>
          <w:rFonts w:ascii="Times New Roman" w:eastAsiaTheme="minorHAnsi" w:hAnsi="Times New Roman"/>
          <w:sz w:val="28"/>
          <w:szCs w:val="28"/>
          <w:lang w:eastAsia="en-US"/>
        </w:rPr>
        <w:t>Чулокского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D27749">
        <w:rPr>
          <w:rFonts w:ascii="Times New Roman" w:hAnsi="Times New Roman"/>
          <w:sz w:val="28"/>
          <w:szCs w:val="28"/>
        </w:rPr>
        <w:t xml:space="preserve">Чулокского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D27749">
        <w:rPr>
          <w:rFonts w:ascii="Times New Roman" w:hAnsi="Times New Roman"/>
          <w:sz w:val="28"/>
          <w:szCs w:val="28"/>
        </w:rPr>
        <w:t xml:space="preserve">Чулокского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D27749">
        <w:rPr>
          <w:rFonts w:ascii="Times New Roman" w:hAnsi="Times New Roman"/>
          <w:sz w:val="28"/>
          <w:szCs w:val="28"/>
        </w:rPr>
        <w:t xml:space="preserve">Чулокского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D27749">
        <w:rPr>
          <w:rFonts w:ascii="Times New Roman" w:hAnsi="Times New Roman"/>
          <w:sz w:val="28"/>
          <w:szCs w:val="28"/>
        </w:rPr>
        <w:t>Чулокского</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D27749">
        <w:rPr>
          <w:rFonts w:ascii="Times New Roman" w:hAnsi="Times New Roman"/>
          <w:sz w:val="28"/>
          <w:szCs w:val="28"/>
        </w:rPr>
        <w:t xml:space="preserve">Чулокского </w:t>
      </w:r>
      <w:r w:rsidRPr="00C7334B">
        <w:rPr>
          <w:rFonts w:ascii="Times New Roman" w:hAnsi="Times New Roman"/>
          <w:sz w:val="28"/>
          <w:szCs w:val="28"/>
        </w:rPr>
        <w:t>сельского поселения Бутурлиновского муниципального района:</w:t>
      </w:r>
    </w:p>
    <w:p w:rsidR="00C7334B" w:rsidRDefault="00C7334B" w:rsidP="00853CD2">
      <w:pPr>
        <w:rPr>
          <w:rFonts w:ascii="Times New Roman" w:hAnsi="Times New Roman"/>
          <w:sz w:val="28"/>
          <w:szCs w:val="28"/>
        </w:rPr>
      </w:pPr>
      <w:r w:rsidRPr="00C7334B">
        <w:rPr>
          <w:rFonts w:ascii="Times New Roman" w:hAnsi="Times New Roman"/>
          <w:sz w:val="28"/>
          <w:szCs w:val="28"/>
        </w:rPr>
        <w:t>-</w:t>
      </w:r>
      <w:r w:rsidR="00853CD2">
        <w:rPr>
          <w:rFonts w:ascii="Times New Roman" w:hAnsi="Times New Roman"/>
          <w:sz w:val="28"/>
          <w:szCs w:val="28"/>
        </w:rPr>
        <w:t xml:space="preserve"> от 15.11.2021г №43</w:t>
      </w:r>
      <w:r w:rsidRPr="00C7334B">
        <w:rPr>
          <w:rFonts w:ascii="Times New Roman" w:hAnsi="Times New Roman"/>
          <w:sz w:val="28"/>
          <w:szCs w:val="28"/>
        </w:rPr>
        <w:t xml:space="preserve"> «Об утверждении</w:t>
      </w:r>
      <w:r w:rsidR="00853CD2">
        <w:rPr>
          <w:rFonts w:ascii="Times New Roman" w:hAnsi="Times New Roman"/>
          <w:sz w:val="28"/>
          <w:szCs w:val="28"/>
        </w:rPr>
        <w:t xml:space="preserve"> </w:t>
      </w:r>
      <w:hyperlink r:id="rId9" w:history="1">
        <w:r w:rsidR="00853CD2" w:rsidRPr="00853CD2">
          <w:rPr>
            <w:rFonts w:ascii="Times New Roman" w:hAnsi="Times New Roman"/>
            <w:color w:val="000000" w:themeColor="text1"/>
            <w:sz w:val="28"/>
            <w:szCs w:val="28"/>
          </w:rPr>
          <w:t xml:space="preserve">Об утверждении Положения о муниципальном контроле на автомобильном транспорте и дорожном хозяйстве в Чулокском сельском поселении Бутурлиновского муниципального района </w:t>
        </w:r>
      </w:hyperlink>
      <w:r w:rsidRPr="00C7334B">
        <w:rPr>
          <w:rFonts w:ascii="Times New Roman" w:hAnsi="Times New Roman"/>
          <w:sz w:val="28"/>
          <w:szCs w:val="28"/>
        </w:rPr>
        <w:t>»;</w:t>
      </w:r>
    </w:p>
    <w:p w:rsidR="006B630E" w:rsidRDefault="006B630E" w:rsidP="00853CD2">
      <w:pPr>
        <w:rPr>
          <w:rFonts w:ascii="Times New Roman" w:hAnsi="Times New Roman"/>
          <w:sz w:val="28"/>
          <w:szCs w:val="28"/>
        </w:rPr>
      </w:pPr>
    </w:p>
    <w:p w:rsidR="00C7334B" w:rsidRDefault="00853CD2" w:rsidP="00853CD2">
      <w:pPr>
        <w:rPr>
          <w:color w:val="000000" w:themeColor="text1"/>
          <w:sz w:val="28"/>
          <w:szCs w:val="28"/>
        </w:rPr>
      </w:pPr>
      <w:r>
        <w:rPr>
          <w:rFonts w:ascii="Times New Roman" w:hAnsi="Times New Roman"/>
          <w:sz w:val="28"/>
          <w:szCs w:val="28"/>
        </w:rPr>
        <w:t>- от  26.12.2022г №81</w:t>
      </w:r>
      <w:r w:rsidR="00C7334B" w:rsidRPr="00C7334B">
        <w:rPr>
          <w:rFonts w:ascii="Times New Roman" w:hAnsi="Times New Roman"/>
          <w:sz w:val="28"/>
          <w:szCs w:val="28"/>
        </w:rPr>
        <w:t xml:space="preserve"> «О внесении изменений в</w:t>
      </w:r>
      <w:r>
        <w:rPr>
          <w:rFonts w:ascii="Times New Roman" w:hAnsi="Times New Roman"/>
          <w:sz w:val="28"/>
          <w:szCs w:val="28"/>
        </w:rPr>
        <w:t xml:space="preserve"> </w:t>
      </w:r>
      <w:hyperlink r:id="rId10" w:history="1">
        <w:r w:rsidRPr="00853CD2">
          <w:rPr>
            <w:rFonts w:ascii="Times New Roman" w:hAnsi="Times New Roman"/>
            <w:color w:val="000000" w:themeColor="text1"/>
            <w:sz w:val="28"/>
            <w:szCs w:val="28"/>
          </w:rPr>
          <w:t xml:space="preserve"> решение Совета народных депутатов Чулокского сельского поселения от 15.11.2021г. № 43 «Об утверждении Положения о муниципальном контроле на автомобильном транспорте и дорожном хозяйстве в Чулокском сельском поселении Бутурлиновского муниципального района»</w:t>
        </w:r>
      </w:hyperlink>
      <w:r w:rsidR="006B630E">
        <w:rPr>
          <w:color w:val="000000" w:themeColor="text1"/>
          <w:sz w:val="28"/>
          <w:szCs w:val="28"/>
        </w:rPr>
        <w:t>;</w:t>
      </w:r>
    </w:p>
    <w:p w:rsidR="006B630E" w:rsidRDefault="006B630E" w:rsidP="00853CD2">
      <w:pPr>
        <w:rPr>
          <w:color w:val="000000" w:themeColor="text1"/>
          <w:sz w:val="28"/>
          <w:szCs w:val="28"/>
        </w:rPr>
      </w:pPr>
    </w:p>
    <w:p w:rsidR="00C7334B" w:rsidRPr="00BB7160" w:rsidRDefault="00C7334B" w:rsidP="00BB7160">
      <w:pPr>
        <w:tabs>
          <w:tab w:val="left" w:pos="9354"/>
        </w:tabs>
        <w:ind w:right="-2"/>
        <w:rPr>
          <w:rFonts w:ascii="Times New Roman" w:hAnsi="Times New Roman"/>
          <w:sz w:val="28"/>
          <w:szCs w:val="28"/>
        </w:rPr>
      </w:pPr>
      <w:r w:rsidRPr="00C7334B">
        <w:rPr>
          <w:rFonts w:ascii="Times New Roman" w:hAnsi="Times New Roman"/>
          <w:sz w:val="28"/>
          <w:szCs w:val="28"/>
        </w:rPr>
        <w:t xml:space="preserve">- от  </w:t>
      </w:r>
      <w:r w:rsidR="00BB7160">
        <w:rPr>
          <w:rFonts w:ascii="Times New Roman" w:hAnsi="Times New Roman"/>
          <w:sz w:val="28"/>
          <w:szCs w:val="28"/>
        </w:rPr>
        <w:t>28.02.2025 №162</w:t>
      </w:r>
      <w:r w:rsidRPr="00C7334B">
        <w:rPr>
          <w:rFonts w:ascii="Times New Roman" w:hAnsi="Times New Roman"/>
          <w:sz w:val="28"/>
          <w:szCs w:val="28"/>
        </w:rPr>
        <w:t xml:space="preserve"> «О внесении изменений в</w:t>
      </w:r>
      <w:r w:rsidR="00BB7160">
        <w:rPr>
          <w:rFonts w:ascii="Times New Roman" w:hAnsi="Times New Roman"/>
          <w:sz w:val="28"/>
          <w:szCs w:val="28"/>
        </w:rPr>
        <w:t xml:space="preserve"> </w:t>
      </w:r>
      <w:r w:rsidR="00BB7160" w:rsidRPr="00BB7160">
        <w:rPr>
          <w:rFonts w:ascii="Times New Roman" w:hAnsi="Times New Roman"/>
          <w:sz w:val="28"/>
          <w:szCs w:val="28"/>
        </w:rPr>
        <w:t>Положение о муниципальном контроле на автомобильном транспорте и дорожном хозяйстве в Чулокском сельском поселении Бутурлиновского муниципального района, утвержденное решением Совета народных депутатов Чулокского сельского поселения от 15.11.2021 г. №43</w:t>
      </w:r>
      <w:r w:rsidRPr="00BB7160">
        <w:rPr>
          <w:rFonts w:ascii="Times New Roman" w:hAnsi="Times New Roman"/>
          <w:sz w:val="28"/>
          <w:szCs w:val="28"/>
        </w:rPr>
        <w:t>»;</w:t>
      </w:r>
    </w:p>
    <w:p w:rsidR="00BB7160" w:rsidRPr="00BB7160" w:rsidRDefault="00BB7160" w:rsidP="00BB7160">
      <w:pPr>
        <w:tabs>
          <w:tab w:val="left" w:pos="9354"/>
        </w:tabs>
        <w:ind w:right="-2"/>
        <w:rPr>
          <w:rFonts w:ascii="Times New Roman" w:hAnsi="Times New Roman"/>
          <w:sz w:val="28"/>
          <w:szCs w:val="28"/>
        </w:rPr>
      </w:pPr>
    </w:p>
    <w:p w:rsidR="00454E91" w:rsidRPr="00C7334B" w:rsidRDefault="00C7334B" w:rsidP="00853CD2">
      <w:pPr>
        <w:widowControl w:val="0"/>
        <w:autoSpaceDE w:val="0"/>
        <w:autoSpaceDN w:val="0"/>
        <w:adjustRightInd w:val="0"/>
        <w:ind w:firstLine="709"/>
        <w:rPr>
          <w:rFonts w:ascii="Times New Roman" w:hAnsi="Times New Roman"/>
          <w:sz w:val="28"/>
          <w:szCs w:val="28"/>
        </w:rPr>
      </w:pPr>
      <w:r w:rsidRPr="00C7334B">
        <w:rPr>
          <w:rFonts w:ascii="Times New Roman" w:hAnsi="Times New Roman"/>
          <w:sz w:val="28"/>
          <w:szCs w:val="28"/>
        </w:rPr>
        <w:t>7.</w:t>
      </w:r>
      <w:r w:rsidR="00454E91" w:rsidRPr="00C7334B">
        <w:rPr>
          <w:rFonts w:ascii="Times New Roman" w:hAnsi="Times New Roman"/>
          <w:sz w:val="28"/>
          <w:szCs w:val="28"/>
        </w:rPr>
        <w:t>Опубликовать настоящее решение в «</w:t>
      </w:r>
      <w:r w:rsidR="00853CD2" w:rsidRPr="00D6128F">
        <w:rPr>
          <w:rFonts w:ascii="Times New Roman" w:eastAsia="Calibri" w:hAnsi="Times New Roman"/>
          <w:sz w:val="28"/>
          <w:szCs w:val="28"/>
        </w:rPr>
        <w:t xml:space="preserve">«Вестнике муниципальных нормативно-правовых актов </w:t>
      </w:r>
      <w:r w:rsidR="00853CD2" w:rsidRPr="00D6128F">
        <w:rPr>
          <w:rFonts w:ascii="Times New Roman" w:eastAsia="Calibri" w:hAnsi="Times New Roman"/>
          <w:color w:val="000000"/>
          <w:sz w:val="28"/>
          <w:szCs w:val="28"/>
        </w:rPr>
        <w:t>и иной официальной информации</w:t>
      </w:r>
      <w:r w:rsidR="00853CD2" w:rsidRPr="00D6128F">
        <w:rPr>
          <w:rFonts w:ascii="Times New Roman" w:eastAsia="Calibri" w:hAnsi="Times New Roman"/>
          <w:sz w:val="28"/>
          <w:szCs w:val="28"/>
        </w:rPr>
        <w:t xml:space="preserve"> </w:t>
      </w:r>
      <w:r w:rsidR="00853CD2" w:rsidRPr="00B60863">
        <w:rPr>
          <w:rFonts w:ascii="Times New Roman" w:hAnsi="Times New Roman"/>
          <w:sz w:val="28"/>
          <w:szCs w:val="28"/>
        </w:rPr>
        <w:t>Чулокском</w:t>
      </w:r>
      <w:r w:rsidR="00853CD2" w:rsidRPr="00D6128F">
        <w:rPr>
          <w:rFonts w:ascii="Times New Roman" w:eastAsia="Calibri" w:hAnsi="Times New Roman"/>
          <w:sz w:val="28"/>
          <w:szCs w:val="28"/>
        </w:rPr>
        <w:t xml:space="preserve"> сельского поселения Бутурлиновского муниципального района Воронежской области</w:t>
      </w:r>
      <w:r w:rsidR="00454E91" w:rsidRPr="00C7334B">
        <w:rPr>
          <w:rFonts w:ascii="Times New Roman" w:hAnsi="Times New Roman"/>
          <w:sz w:val="28"/>
          <w:szCs w:val="28"/>
        </w:rPr>
        <w:t>» и разместить на официальном сайте Совета народных депутатов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9747" w:type="dxa"/>
        <w:tblLook w:val="04A0"/>
      </w:tblPr>
      <w:tblGrid>
        <w:gridCol w:w="4219"/>
        <w:gridCol w:w="3544"/>
        <w:gridCol w:w="1984"/>
      </w:tblGrid>
      <w:tr w:rsidR="00B868F4" w:rsidRPr="00C7334B" w:rsidTr="00D27749">
        <w:tc>
          <w:tcPr>
            <w:tcW w:w="4219" w:type="dxa"/>
            <w:shd w:val="clear" w:color="auto" w:fill="auto"/>
          </w:tcPr>
          <w:p w:rsidR="0099362B" w:rsidRPr="00C7334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Глава </w:t>
            </w:r>
            <w:r w:rsidR="00D27749">
              <w:rPr>
                <w:rFonts w:ascii="Times New Roman" w:hAnsi="Times New Roman"/>
                <w:sz w:val="28"/>
                <w:szCs w:val="28"/>
              </w:rPr>
              <w:t>Чулокского сельского поселения Бутурлиновского</w:t>
            </w:r>
          </w:p>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муниципального образования                                                   </w:t>
            </w:r>
          </w:p>
        </w:tc>
        <w:tc>
          <w:tcPr>
            <w:tcW w:w="3544" w:type="dxa"/>
            <w:shd w:val="clear" w:color="auto" w:fill="auto"/>
          </w:tcPr>
          <w:p w:rsidR="00D27749" w:rsidRDefault="00D27749" w:rsidP="00EE61B6">
            <w:pPr>
              <w:pStyle w:val="a5"/>
              <w:tabs>
                <w:tab w:val="left" w:pos="1134"/>
              </w:tabs>
              <w:spacing w:after="0" w:line="240" w:lineRule="auto"/>
              <w:ind w:left="0" w:firstLine="0"/>
              <w:rPr>
                <w:rFonts w:ascii="Times New Roman" w:hAnsi="Times New Roman"/>
                <w:sz w:val="28"/>
                <w:szCs w:val="28"/>
              </w:rPr>
            </w:pPr>
          </w:p>
          <w:p w:rsidR="00D27749" w:rsidRDefault="00D27749" w:rsidP="00D27749"/>
          <w:p w:rsidR="0099362B" w:rsidRPr="00D27749" w:rsidRDefault="00D27749" w:rsidP="00D27749">
            <w:pPr>
              <w:rPr>
                <w:rFonts w:ascii="Times New Roman" w:hAnsi="Times New Roman"/>
                <w:sz w:val="28"/>
                <w:szCs w:val="28"/>
              </w:rPr>
            </w:pPr>
            <w:r>
              <w:rPr>
                <w:rFonts w:ascii="Times New Roman" w:hAnsi="Times New Roman"/>
                <w:sz w:val="28"/>
                <w:szCs w:val="28"/>
              </w:rPr>
              <w:t xml:space="preserve">                </w:t>
            </w:r>
            <w:r w:rsidRPr="00D27749">
              <w:rPr>
                <w:rFonts w:ascii="Times New Roman" w:hAnsi="Times New Roman"/>
                <w:sz w:val="28"/>
                <w:szCs w:val="28"/>
              </w:rPr>
              <w:t>А.С.Ефремов</w:t>
            </w:r>
          </w:p>
        </w:tc>
        <w:tc>
          <w:tcPr>
            <w:tcW w:w="1984"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D27749">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354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198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D27749">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354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198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C7334B"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Председатель совета народных депутатов</w:t>
      </w:r>
    </w:p>
    <w:p w:rsidR="00B868F4" w:rsidRPr="00C7334B" w:rsidRDefault="004C2E2C"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муниципального образования</w:t>
      </w:r>
      <w:r w:rsidR="00D27749">
        <w:rPr>
          <w:rFonts w:ascii="Times New Roman" w:hAnsi="Times New Roman"/>
          <w:sz w:val="28"/>
          <w:szCs w:val="28"/>
        </w:rPr>
        <w:t xml:space="preserve">                          А. Е. Семенченко</w:t>
      </w:r>
    </w:p>
    <w:p w:rsidR="00C7334B" w:rsidRPr="00C7334B" w:rsidRDefault="00C7334B"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r w:rsidR="00D27749">
        <w:rPr>
          <w:rFonts w:ascii="Times New Roman" w:hAnsi="Times New Roman"/>
          <w:sz w:val="28"/>
          <w:szCs w:val="28"/>
        </w:rPr>
        <w:t xml:space="preserve">Чулокского </w:t>
      </w:r>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Бутурлиновского муниципального района</w:t>
      </w:r>
      <w:r w:rsidR="00D27749">
        <w:rPr>
          <w:rFonts w:ascii="Times New Roman" w:hAnsi="Times New Roman"/>
          <w:bCs/>
          <w:iCs/>
          <w:sz w:val="28"/>
          <w:szCs w:val="28"/>
        </w:rPr>
        <w:t xml:space="preserve"> </w:t>
      </w:r>
      <w:r w:rsidRPr="00C7334B">
        <w:rPr>
          <w:rFonts w:ascii="Times New Roman" w:hAnsi="Times New Roman"/>
          <w:sz w:val="28"/>
          <w:szCs w:val="28"/>
        </w:rPr>
        <w:t>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D27749">
        <w:rPr>
          <w:rFonts w:ascii="Times New Roman" w:hAnsi="Times New Roman"/>
          <w:bCs/>
          <w:iCs/>
          <w:sz w:val="28"/>
          <w:szCs w:val="28"/>
        </w:rPr>
        <w:t xml:space="preserve">Чулокского </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D27749">
        <w:rPr>
          <w:rFonts w:ascii="Times New Roman" w:hAnsi="Times New Roman"/>
          <w:sz w:val="28"/>
          <w:szCs w:val="28"/>
        </w:rPr>
        <w:t xml:space="preserve">Чулокского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расположенных в границах</w:t>
      </w:r>
      <w:r w:rsidR="00D27749">
        <w:rPr>
          <w:rFonts w:ascii="Times New Roman" w:eastAsiaTheme="minorHAnsi" w:hAnsi="Times New Roman"/>
          <w:sz w:val="28"/>
          <w:szCs w:val="28"/>
          <w:lang w:eastAsia="en-US"/>
        </w:rPr>
        <w:t xml:space="preserve"> Чулокского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D27749">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D27749">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D27749">
        <w:rPr>
          <w:rFonts w:ascii="Times New Roman" w:hAnsi="Times New Roman"/>
          <w:sz w:val="28"/>
          <w:szCs w:val="28"/>
        </w:rPr>
        <w:t xml:space="preserve">Чулокского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D27749">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D27749">
        <w:rPr>
          <w:rFonts w:ascii="Times New Roman" w:hAnsi="Times New Roman"/>
          <w:sz w:val="28"/>
          <w:szCs w:val="28"/>
        </w:rPr>
        <w:t>Чулокского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D27749">
        <w:rPr>
          <w:rFonts w:ascii="Times New Roman" w:eastAsiaTheme="minorHAnsi" w:hAnsi="Times New Roman"/>
          <w:sz w:val="28"/>
          <w:szCs w:val="28"/>
          <w:lang w:eastAsia="en-US"/>
        </w:rPr>
        <w:t xml:space="preserve">Чулокского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D27749">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D27749">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конференц</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rsidR="00D27749">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EF573D">
        <w:rPr>
          <w:rFonts w:ascii="Times New Roman" w:eastAsiaTheme="minorHAnsi" w:hAnsi="Times New Roman"/>
          <w:sz w:val="28"/>
          <w:szCs w:val="28"/>
          <w:lang w:eastAsia="en-US"/>
        </w:rPr>
        <w:t>статьи 57</w:t>
      </w:r>
      <w:r w:rsidRPr="00C7334B">
        <w:rPr>
          <w:rFonts w:ascii="Times New Roman" w:eastAsiaTheme="minorHAnsi" w:hAnsi="Times New Roman"/>
          <w:sz w:val="28"/>
          <w:szCs w:val="28"/>
          <w:lang w:eastAsia="en-US"/>
        </w:rPr>
        <w:t>,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EF573D">
        <w:rPr>
          <w:rFonts w:ascii="Times New Roman" w:eastAsiaTheme="minorHAnsi" w:hAnsi="Times New Roman"/>
          <w:sz w:val="28"/>
          <w:szCs w:val="28"/>
          <w:lang w:eastAsia="en-US"/>
        </w:rPr>
        <w:t>статьи 57</w:t>
      </w:r>
      <w:r w:rsidRPr="00C7334B">
        <w:rPr>
          <w:rFonts w:ascii="Times New Roman" w:eastAsiaTheme="minorHAnsi" w:hAnsi="Times New Roman"/>
          <w:sz w:val="28"/>
          <w:szCs w:val="28"/>
          <w:lang w:eastAsia="en-US"/>
        </w:rPr>
        <w:t>,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r w:rsidR="00D27749">
        <w:rPr>
          <w:rFonts w:ascii="Times New Roman" w:hAnsi="Times New Roman" w:cs="Times New Roman"/>
          <w:sz w:val="28"/>
          <w:szCs w:val="28"/>
        </w:rPr>
        <w:t xml:space="preserve">Чулокского </w:t>
      </w:r>
      <w:r w:rsidR="009E30EA">
        <w:rPr>
          <w:rFonts w:ascii="Times New Roman" w:hAnsi="Times New Roman" w:cs="Times New Roman"/>
          <w:sz w:val="28"/>
          <w:szCs w:val="28"/>
        </w:rPr>
        <w:t>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D27749">
        <w:rPr>
          <w:rFonts w:ascii="Times New Roman" w:hAnsi="Times New Roman" w:cs="Times New Roman"/>
          <w:sz w:val="28"/>
          <w:szCs w:val="28"/>
        </w:rPr>
        <w:t xml:space="preserve">Чулокского </w:t>
      </w:r>
      <w:r w:rsidR="009E30EA">
        <w:rPr>
          <w:rFonts w:ascii="Times New Roman" w:hAnsi="Times New Roman" w:cs="Times New Roman"/>
          <w:sz w:val="28"/>
          <w:szCs w:val="28"/>
        </w:rPr>
        <w:t>сельского поселения</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r w:rsidR="00D27749">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от ____ № ___</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D27749">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84405F">
        <w:rPr>
          <w:rFonts w:ascii="Times New Roman" w:hAnsi="Times New Roman" w:cs="Times New Roman"/>
          <w:sz w:val="28"/>
          <w:szCs w:val="28"/>
        </w:rPr>
        <w:t>Чу</w:t>
      </w:r>
      <w:r w:rsidR="00D27749">
        <w:rPr>
          <w:rFonts w:ascii="Times New Roman" w:hAnsi="Times New Roman" w:cs="Times New Roman"/>
          <w:sz w:val="28"/>
          <w:szCs w:val="28"/>
        </w:rPr>
        <w:t xml:space="preserve">локского сельского поселения Бутурлиновского района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r w:rsidR="0084405F">
        <w:rPr>
          <w:rFonts w:ascii="Times New Roman" w:hAnsi="Times New Roman" w:cs="Times New Roman"/>
          <w:sz w:val="28"/>
          <w:szCs w:val="28"/>
        </w:rPr>
        <w:t xml:space="preserve">Чулокского </w:t>
      </w:r>
      <w:r>
        <w:rPr>
          <w:rFonts w:ascii="Times New Roman" w:hAnsi="Times New Roman" w:cs="Times New Roman"/>
          <w:sz w:val="28"/>
          <w:szCs w:val="28"/>
        </w:rPr>
        <w:t>сельского поселения от ____ № ___</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84405F">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4405F">
              <w:rPr>
                <w:rFonts w:ascii="Times New Roman" w:hAnsi="Times New Roman"/>
                <w:sz w:val="28"/>
                <w:szCs w:val="28"/>
              </w:rPr>
              <w:t>Чулокского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84405F">
              <w:rPr>
                <w:rFonts w:ascii="Times New Roman" w:hAnsi="Times New Roman"/>
                <w:sz w:val="28"/>
                <w:szCs w:val="28"/>
              </w:rPr>
              <w:t xml:space="preserve"> Чулокского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4405F">
              <w:rPr>
                <w:rFonts w:ascii="Times New Roman" w:hAnsi="Times New Roman"/>
                <w:sz w:val="28"/>
                <w:szCs w:val="28"/>
              </w:rPr>
              <w:t xml:space="preserve">Чулокского сельского поселения </w:t>
            </w:r>
            <w:r w:rsidRPr="00C7334B">
              <w:rPr>
                <w:rFonts w:ascii="Times New Roman" w:hAnsi="Times New Roman"/>
                <w:sz w:val="28"/>
                <w:szCs w:val="28"/>
              </w:rPr>
              <w:t xml:space="preserve"> .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4405F">
              <w:rPr>
                <w:rFonts w:ascii="Times New Roman" w:eastAsiaTheme="minorHAnsi" w:hAnsi="Times New Roman"/>
                <w:sz w:val="28"/>
                <w:szCs w:val="28"/>
                <w:lang w:eastAsia="en-US"/>
              </w:rPr>
              <w:t xml:space="preserve">Чулокского сельского </w:t>
            </w:r>
            <w:r w:rsidR="0084405F">
              <w:rPr>
                <w:rFonts w:ascii="Times New Roman" w:eastAsiaTheme="minorHAnsi" w:hAnsi="Times New Roman"/>
                <w:sz w:val="28"/>
                <w:szCs w:val="28"/>
                <w:lang w:eastAsia="en-US"/>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84405F">
              <w:rPr>
                <w:rFonts w:ascii="Times New Roman" w:eastAsiaTheme="minorHAnsi" w:hAnsi="Times New Roman"/>
                <w:sz w:val="28"/>
                <w:szCs w:val="28"/>
                <w:lang w:eastAsia="en-US"/>
              </w:rPr>
              <w:t xml:space="preserve"> Чулокского сельского поселения </w:t>
            </w:r>
            <w:r w:rsidR="00906C70" w:rsidRPr="00C7334B">
              <w:rPr>
                <w:rFonts w:ascii="Times New Roman" w:eastAsiaTheme="minorHAnsi" w:hAnsi="Times New Roman"/>
                <w:sz w:val="28"/>
                <w:szCs w:val="28"/>
                <w:lang w:eastAsia="en-US"/>
              </w:rPr>
              <w:t>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84405F">
              <w:rPr>
                <w:rFonts w:ascii="Times New Roman" w:eastAsiaTheme="minorHAnsi" w:hAnsi="Times New Roman"/>
                <w:sz w:val="28"/>
                <w:szCs w:val="28"/>
                <w:lang w:eastAsia="en-US"/>
              </w:rPr>
              <w:t>Чулокского сельского поселения</w:t>
            </w:r>
            <w:r w:rsidRPr="00C7334B">
              <w:rPr>
                <w:rFonts w:ascii="Times New Roman" w:eastAsiaTheme="minorHAnsi" w:hAnsi="Times New Roman"/>
                <w:sz w:val="28"/>
                <w:szCs w:val="28"/>
                <w:lang w:eastAsia="en-US"/>
              </w:rPr>
              <w:t xml:space="preserve"> .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r w:rsidR="0084405F">
        <w:rPr>
          <w:rFonts w:ascii="Times New Roman" w:hAnsi="Times New Roman" w:cs="Times New Roman"/>
          <w:sz w:val="28"/>
          <w:szCs w:val="28"/>
        </w:rPr>
        <w:t xml:space="preserve">Чулокского </w:t>
      </w:r>
      <w:r>
        <w:rPr>
          <w:rFonts w:ascii="Times New Roman" w:hAnsi="Times New Roman" w:cs="Times New Roman"/>
          <w:sz w:val="28"/>
          <w:szCs w:val="28"/>
        </w:rPr>
        <w:t xml:space="preserve"> сельского поселения от ____ № ___</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679" w:rsidRDefault="000A2679" w:rsidP="00D42074">
      <w:r>
        <w:separator/>
      </w:r>
    </w:p>
  </w:endnote>
  <w:endnote w:type="continuationSeparator" w:id="1">
    <w:p w:rsidR="000A2679" w:rsidRDefault="000A267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679" w:rsidRDefault="000A2679" w:rsidP="00D42074">
      <w:r>
        <w:separator/>
      </w:r>
    </w:p>
  </w:footnote>
  <w:footnote w:type="continuationSeparator" w:id="1">
    <w:p w:rsidR="000A2679" w:rsidRDefault="000A2679" w:rsidP="00D42074">
      <w:r>
        <w:continuationSeparator/>
      </w:r>
    </w:p>
  </w:footnote>
  <w:footnote w:id="2">
    <w:p w:rsidR="00D27749" w:rsidRPr="008D6F12" w:rsidRDefault="00D27749">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27749" w:rsidRPr="00B36DEF" w:rsidRDefault="00D27749"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27749" w:rsidRDefault="00DC524D">
        <w:pPr>
          <w:pStyle w:val="a7"/>
          <w:jc w:val="center"/>
        </w:pPr>
        <w:fldSimple w:instr="PAGE   \* MERGEFORMAT">
          <w:r w:rsidR="00EF573D">
            <w:rPr>
              <w:noProof/>
            </w:rPr>
            <w:t>18</w:t>
          </w:r>
        </w:fldSimple>
      </w:p>
    </w:sdtContent>
  </w:sdt>
  <w:p w:rsidR="00D27749" w:rsidRDefault="00D277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6E7D"/>
    <w:rsid w:val="00007626"/>
    <w:rsid w:val="000267E6"/>
    <w:rsid w:val="0003379E"/>
    <w:rsid w:val="0006265C"/>
    <w:rsid w:val="00087E2E"/>
    <w:rsid w:val="000A2679"/>
    <w:rsid w:val="000A3BDF"/>
    <w:rsid w:val="000B2AE8"/>
    <w:rsid w:val="000C43B9"/>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35652"/>
    <w:rsid w:val="00443D34"/>
    <w:rsid w:val="00454E91"/>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5542"/>
    <w:rsid w:val="00623DB0"/>
    <w:rsid w:val="00627041"/>
    <w:rsid w:val="006914DE"/>
    <w:rsid w:val="00691B8A"/>
    <w:rsid w:val="006B630E"/>
    <w:rsid w:val="006D5AF2"/>
    <w:rsid w:val="006E0F3B"/>
    <w:rsid w:val="00723F22"/>
    <w:rsid w:val="007415AD"/>
    <w:rsid w:val="007631DC"/>
    <w:rsid w:val="007A56A1"/>
    <w:rsid w:val="008159EE"/>
    <w:rsid w:val="00817FEC"/>
    <w:rsid w:val="00826D28"/>
    <w:rsid w:val="00836C84"/>
    <w:rsid w:val="0084106C"/>
    <w:rsid w:val="00842F3F"/>
    <w:rsid w:val="0084405F"/>
    <w:rsid w:val="0084486F"/>
    <w:rsid w:val="008528A2"/>
    <w:rsid w:val="00853CD2"/>
    <w:rsid w:val="00862AFA"/>
    <w:rsid w:val="00872AF5"/>
    <w:rsid w:val="008838DA"/>
    <w:rsid w:val="008A0A82"/>
    <w:rsid w:val="008A3A72"/>
    <w:rsid w:val="008B2441"/>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B7160"/>
    <w:rsid w:val="00BC7596"/>
    <w:rsid w:val="00BE291D"/>
    <w:rsid w:val="00C052AF"/>
    <w:rsid w:val="00C06A2A"/>
    <w:rsid w:val="00C45F7F"/>
    <w:rsid w:val="00C7334B"/>
    <w:rsid w:val="00C9180D"/>
    <w:rsid w:val="00CA7BEA"/>
    <w:rsid w:val="00CC1D01"/>
    <w:rsid w:val="00CD4EF3"/>
    <w:rsid w:val="00CE1E17"/>
    <w:rsid w:val="00CE5EEE"/>
    <w:rsid w:val="00D005BA"/>
    <w:rsid w:val="00D27749"/>
    <w:rsid w:val="00D42074"/>
    <w:rsid w:val="00D52D8A"/>
    <w:rsid w:val="00D54A2F"/>
    <w:rsid w:val="00D772D3"/>
    <w:rsid w:val="00DC524D"/>
    <w:rsid w:val="00DD76A1"/>
    <w:rsid w:val="00DF0E0A"/>
    <w:rsid w:val="00E17554"/>
    <w:rsid w:val="00E2461C"/>
    <w:rsid w:val="00E54306"/>
    <w:rsid w:val="00E61AE6"/>
    <w:rsid w:val="00E8642E"/>
    <w:rsid w:val="00E86D1A"/>
    <w:rsid w:val="00EB2914"/>
    <w:rsid w:val="00EE61B6"/>
    <w:rsid w:val="00EF573D"/>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act=0a1da1fa-0001-478b-839d-8e8fa584f084" TargetMode="External"/><Relationship Id="rId4" Type="http://schemas.openxmlformats.org/officeDocument/2006/relationships/settings" Target="settings.xml"/><Relationship Id="rId9" Type="http://schemas.openxmlformats.org/officeDocument/2006/relationships/hyperlink" Target="about:blank?act=f8bd6cd7-b52a-47db-af79-8109e9f824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31</Pages>
  <Words>10261</Words>
  <Characters>58490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39</cp:revision>
  <cp:lastPrinted>2025-02-07T09:32:00Z</cp:lastPrinted>
  <dcterms:created xsi:type="dcterms:W3CDTF">2025-01-30T06:44:00Z</dcterms:created>
  <dcterms:modified xsi:type="dcterms:W3CDTF">2025-05-14T08:43:00Z</dcterms:modified>
</cp:coreProperties>
</file>