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3286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Чулокского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3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286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39544D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</w:t>
      </w:r>
      <w:r w:rsidR="0044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выдвижения, внесения, обсуждения,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r w:rsidR="0093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3286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93286D">
        <w:rPr>
          <w:rFonts w:ascii="Times New Roman" w:eastAsia="Calibri" w:hAnsi="Times New Roman" w:cs="Times New Roman"/>
          <w:sz w:val="28"/>
          <w:szCs w:val="28"/>
        </w:rPr>
        <w:t>Совет народных депутатов Чулокского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прилагаемый Порядок рассмотрения и реализации инициативных проектов, а также проведения их конкурсного отбора в </w:t>
      </w:r>
      <w:r w:rsidR="0093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64699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699" w:rsidRPr="00964699">
        <w:rPr>
          <w:rFonts w:ascii="Times New Roman" w:eastAsia="Calibri" w:hAnsi="Times New Roman" w:cs="Times New Roman"/>
          <w:sz w:val="28"/>
          <w:szCs w:val="28"/>
        </w:rPr>
        <w:t>Опубликовать  настоящее решение  в Вестнике нормативно-правовых актов  Чулокского сельского поселения Бутурлиновского муниципального района Воронежской области  и разместить в сети «Интернет» на официальном сайте органов местного самоуправления Чулокского сельского поселения</w:t>
      </w:r>
      <w:r w:rsidR="00964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93286D" w:rsidRDefault="0093286D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6D" w:rsidRPr="00941D5A" w:rsidRDefault="0093286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93286D">
        <w:rPr>
          <w:rFonts w:ascii="Times New Roman" w:hAnsi="Times New Roman" w:cs="Times New Roman"/>
          <w:sz w:val="28"/>
          <w:szCs w:val="28"/>
          <w:lang w:eastAsia="ru-RU"/>
        </w:rPr>
        <w:t xml:space="preserve"> Чулокского сельского поселения                     А.С.Ефремов</w:t>
      </w: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>к реш</w:t>
      </w:r>
      <w:r w:rsidR="0093286D">
        <w:rPr>
          <w:rFonts w:ascii="Times New Roman" w:eastAsia="Calibri" w:hAnsi="Times New Roman" w:cs="Times New Roman"/>
          <w:sz w:val="28"/>
          <w:szCs w:val="28"/>
        </w:rPr>
        <w:t>ению Совета народных депутатов Чулокского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64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93286D">
        <w:rPr>
          <w:rFonts w:ascii="Times New Roman" w:eastAsia="Calibri" w:hAnsi="Times New Roman" w:cs="Times New Roman"/>
          <w:sz w:val="28"/>
          <w:szCs w:val="28"/>
        </w:rPr>
        <w:t>24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3286D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93286D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964699">
        <w:rPr>
          <w:rFonts w:ascii="Times New Roman" w:hAnsi="Times New Roman" w:cs="Times New Roman"/>
          <w:sz w:val="28"/>
          <w:szCs w:val="28"/>
        </w:rPr>
        <w:t>ЧУЛОКСКОМ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Чулокском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  (далее - Порядок) разработан в целях проведения мероприятий, имеющих приоритетное значение для  жителей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 xml:space="preserve">7) указание на объем средств бюджета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9) ориентировочное количество потенциальных</w:t>
      </w:r>
      <w:r w:rsidR="00964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964699">
        <w:rPr>
          <w:rFonts w:ascii="Times New Roman" w:hAnsi="Times New Roman" w:cs="Times New Roman"/>
          <w:sz w:val="28"/>
          <w:szCs w:val="28"/>
        </w:rPr>
        <w:t>Чулокского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1) </w:t>
      </w:r>
      <w:r w:rsidR="00442D84">
        <w:rPr>
          <w:rFonts w:ascii="Times New Roman" w:hAnsi="Times New Roman" w:cs="Times New Roman"/>
          <w:sz w:val="28"/>
          <w:szCs w:val="28"/>
        </w:rPr>
        <w:t>вносят</w:t>
      </w:r>
      <w:r w:rsidRPr="00F27A32">
        <w:rPr>
          <w:rFonts w:ascii="Times New Roman" w:hAnsi="Times New Roman" w:cs="Times New Roman"/>
          <w:sz w:val="28"/>
          <w:szCs w:val="28"/>
        </w:rPr>
        <w:t xml:space="preserve"> инициативный проект</w:t>
      </w:r>
      <w:r w:rsidR="00442D84">
        <w:rPr>
          <w:rFonts w:ascii="Times New Roman" w:hAnsi="Times New Roman" w:cs="Times New Roman"/>
          <w:sz w:val="28"/>
          <w:szCs w:val="28"/>
        </w:rPr>
        <w:t xml:space="preserve"> в администрацию поселения</w:t>
      </w:r>
      <w:r w:rsidRPr="00F27A32">
        <w:rPr>
          <w:rFonts w:ascii="Times New Roman" w:hAnsi="Times New Roman" w:cs="Times New Roman"/>
          <w:sz w:val="28"/>
          <w:szCs w:val="28"/>
        </w:rPr>
        <w:t>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3) вносят инициативный проект в администрацию </w:t>
      </w:r>
      <w:r w:rsidR="00442D84">
        <w:rPr>
          <w:rFonts w:ascii="Times New Roman" w:hAnsi="Times New Roman" w:cs="Times New Roman"/>
          <w:sz w:val="28"/>
          <w:szCs w:val="28"/>
        </w:rPr>
        <w:t>поселения</w:t>
      </w:r>
      <w:r w:rsidRPr="00F27A32">
        <w:rPr>
          <w:rFonts w:ascii="Times New Roman" w:hAnsi="Times New Roman" w:cs="Times New Roman"/>
          <w:sz w:val="28"/>
          <w:szCs w:val="28"/>
        </w:rPr>
        <w:t>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участвуют в контроле  за реализацией инициативного проекта;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442D84">
        <w:rPr>
          <w:rFonts w:ascii="Times New Roman" w:hAnsi="Times New Roman" w:cs="Times New Roman"/>
          <w:sz w:val="28"/>
          <w:szCs w:val="28"/>
        </w:rPr>
        <w:t>Чулокского сельского поселения</w:t>
      </w:r>
      <w:r w:rsidRPr="00F27A32">
        <w:rPr>
          <w:rFonts w:ascii="Times New Roman" w:hAnsi="Times New Roman" w:cs="Times New Roman"/>
          <w:sz w:val="28"/>
          <w:szCs w:val="28"/>
        </w:rPr>
        <w:t>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F27A32">
        <w:rPr>
          <w:rFonts w:ascii="Times New Roman" w:hAnsi="Times New Roman" w:cs="Times New Roman"/>
          <w:sz w:val="28"/>
          <w:szCs w:val="28"/>
        </w:rPr>
        <w:lastRenderedPageBreak/>
        <w:t>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Инициативный проект до его внесения в администрацию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на части территории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случае,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.2. Выборы и выдвижение делегатов на конференцию проводятся на собраниях  жителей сельского поселения  </w:t>
      </w:r>
      <w:r w:rsidRPr="00964699">
        <w:rPr>
          <w:rFonts w:ascii="Times New Roman" w:hAnsi="Times New Roman" w:cs="Times New Roman"/>
          <w:sz w:val="28"/>
          <w:szCs w:val="28"/>
        </w:rPr>
        <w:t>группы квартир, подъездов, дома или группы домов либо в форме сбора подпис</w:t>
      </w:r>
      <w:r w:rsidRPr="002263F1">
        <w:rPr>
          <w:rFonts w:ascii="Times New Roman" w:hAnsi="Times New Roman" w:cs="Times New Roman"/>
          <w:sz w:val="28"/>
          <w:szCs w:val="28"/>
        </w:rPr>
        <w:t>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 xml:space="preserve">жителей сельского </w:t>
      </w:r>
      <w:r w:rsidRPr="00964699">
        <w:rPr>
          <w:rFonts w:ascii="Times New Roman" w:hAnsi="Times New Roman" w:cs="Times New Roman"/>
          <w:sz w:val="28"/>
          <w:szCs w:val="28"/>
        </w:rPr>
        <w:t>поселения,  квартир, подъездов,</w:t>
      </w:r>
      <w:r w:rsidRPr="002263F1">
        <w:rPr>
          <w:rFonts w:ascii="Times New Roman" w:hAnsi="Times New Roman" w:cs="Times New Roman"/>
          <w:sz w:val="28"/>
          <w:szCs w:val="28"/>
        </w:rPr>
        <w:t xml:space="preserve"> 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9F2107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</w:t>
      </w:r>
      <w:r w:rsidRPr="009F2107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>. Внесение инициативных проектов</w:t>
      </w:r>
      <w:r w:rsid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64699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Состав комиссии </w:t>
      </w:r>
      <w:r w:rsidRPr="00FB6020">
        <w:rPr>
          <w:rFonts w:ascii="Times New Roman" w:hAnsi="Times New Roman" w:cs="Times New Roman"/>
          <w:sz w:val="28"/>
          <w:szCs w:val="28"/>
        </w:rPr>
        <w:lastRenderedPageBreak/>
        <w:t>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964699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82787B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64699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Информация о внесении инициативного проекта в администрацию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опубликованию </w:t>
      </w:r>
      <w:r w:rsidR="0082787B" w:rsidRPr="00964699">
        <w:rPr>
          <w:rFonts w:ascii="Times New Roman" w:eastAsia="Calibri" w:hAnsi="Times New Roman" w:cs="Times New Roman"/>
          <w:sz w:val="28"/>
          <w:szCs w:val="28"/>
        </w:rPr>
        <w:t>в Вестнике нормативно-правовых актов  Чулокского сельского поселения Бутурлиновского муниципального района Воронежской области</w:t>
      </w:r>
      <w:r w:rsidR="0082787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и размещению на официальном сайте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</w:t>
      </w:r>
      <w:r w:rsidR="0082787B">
        <w:rPr>
          <w:rFonts w:ascii="Times New Roman" w:hAnsi="Times New Roman" w:cs="Times New Roman"/>
          <w:sz w:val="28"/>
          <w:szCs w:val="28"/>
        </w:rPr>
        <w:t xml:space="preserve">и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администрацию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(внесения изменений в решение о бюджете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Администрация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вправе, а в случае,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или муниципального района,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софинансирования за счет средств бюджета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Инициатор проекта до начала его реализации за счет средств </w:t>
      </w:r>
      <w:r w:rsidR="00442D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бюджета обеспечивает внесение инициативных платежей в доход бюджета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договор добровольного пожертвования имущества и (или) договор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на безвозмездное оказание услуг/выполнение работ по реализации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.1. Информация о рассмотрении инициативного проекта администрацией</w:t>
      </w:r>
      <w:r w:rsidR="0082787B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</w:t>
      </w:r>
      <w:r w:rsidR="0082787B" w:rsidRPr="00964699">
        <w:rPr>
          <w:rFonts w:ascii="Times New Roman" w:eastAsia="Calibri" w:hAnsi="Times New Roman" w:cs="Times New Roman"/>
          <w:sz w:val="28"/>
          <w:szCs w:val="28"/>
        </w:rPr>
        <w:t>в Вестнике нормативно-правовых актов  Чулокского сельского поселения Бутурлиновского муниципального района Воронежской области</w:t>
      </w:r>
      <w:r w:rsidR="0082787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Отчет администрации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об итогах реализации инициативного п</w:t>
      </w:r>
      <w:r w:rsidR="0082787B">
        <w:rPr>
          <w:rFonts w:ascii="Times New Roman" w:hAnsi="Times New Roman" w:cs="Times New Roman"/>
          <w:sz w:val="28"/>
          <w:szCs w:val="28"/>
        </w:rPr>
        <w:t xml:space="preserve">роекта подлежит опубликованию в </w:t>
      </w:r>
      <w:r w:rsidR="0082787B" w:rsidRPr="00964699">
        <w:rPr>
          <w:rFonts w:ascii="Times New Roman" w:eastAsia="Calibri" w:hAnsi="Times New Roman" w:cs="Times New Roman"/>
          <w:sz w:val="28"/>
          <w:szCs w:val="28"/>
        </w:rPr>
        <w:t>Вестнике нормативно-правовых актов  Чулокского сельского поселения Бутурлиновского муниципального района Воронежской области</w:t>
      </w:r>
      <w:r w:rsidRPr="00FD3CE5">
        <w:rPr>
          <w:rFonts w:ascii="Times New Roman" w:hAnsi="Times New Roman" w:cs="Times New Roman"/>
          <w:sz w:val="28"/>
          <w:szCs w:val="28"/>
        </w:rPr>
        <w:t xml:space="preserve">  и размещению на официальном сайте администрации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Приложение N 1</w:t>
      </w:r>
      <w:r w:rsidR="0082787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к Порядку</w:t>
      </w:r>
      <w:r w:rsidR="0082787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82787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82787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82787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r w:rsidR="0082787B">
        <w:rPr>
          <w:rFonts w:ascii="Times New Roman" w:hAnsi="Times New Roman" w:cs="Times New Roman"/>
          <w:sz w:val="28"/>
          <w:szCs w:val="28"/>
        </w:rPr>
        <w:t xml:space="preserve">Чулокском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5"/>
            <w:bookmarkEnd w:id="0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уполномоченного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2к Порядку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Чулокского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3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Порядку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827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Чулокском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</w:t>
            </w: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софинансирования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405F9D"/>
    <w:rsid w:val="00442D84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07781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D7EA6"/>
    <w:rsid w:val="005E46C1"/>
    <w:rsid w:val="005F5F4D"/>
    <w:rsid w:val="0060529D"/>
    <w:rsid w:val="00671500"/>
    <w:rsid w:val="00683A8D"/>
    <w:rsid w:val="00684E0B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87B"/>
    <w:rsid w:val="008279D0"/>
    <w:rsid w:val="00883728"/>
    <w:rsid w:val="008A17FE"/>
    <w:rsid w:val="008C74C8"/>
    <w:rsid w:val="00915A37"/>
    <w:rsid w:val="0093286D"/>
    <w:rsid w:val="00941A90"/>
    <w:rsid w:val="00941D5A"/>
    <w:rsid w:val="00964699"/>
    <w:rsid w:val="009672D9"/>
    <w:rsid w:val="00972CE0"/>
    <w:rsid w:val="00976448"/>
    <w:rsid w:val="009843B6"/>
    <w:rsid w:val="009B27F0"/>
    <w:rsid w:val="009F2107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BF4049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D095B"/>
    <w:rsid w:val="00ED1FFB"/>
    <w:rsid w:val="00EF1C04"/>
    <w:rsid w:val="00F01237"/>
    <w:rsid w:val="00F160DB"/>
    <w:rsid w:val="00F22A63"/>
    <w:rsid w:val="00F24ECF"/>
    <w:rsid w:val="00F27A32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5965</Words>
  <Characters>34003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2019-02-14T07:33:00Z</cp:lastPrinted>
  <dcterms:created xsi:type="dcterms:W3CDTF">2021-05-31T09:00:00Z</dcterms:created>
  <dcterms:modified xsi:type="dcterms:W3CDTF">2021-06-10T13:34:00Z</dcterms:modified>
</cp:coreProperties>
</file>